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BAA" w:rsidRDefault="0049524E" w:rsidP="00B2332C">
      <w:pPr>
        <w:pStyle w:val="Title"/>
        <w:numPr>
          <w:ilvl w:val="0"/>
          <w:numId w:val="3"/>
        </w:numPr>
        <w:rPr>
          <w:color w:val="FF9933"/>
        </w:rPr>
      </w:pPr>
      <w:r w:rsidRPr="00B2332C">
        <w:rPr>
          <w:color w:val="FF9933"/>
        </w:rPr>
        <w:t>Fill in the blanks</w:t>
      </w:r>
    </w:p>
    <w:p w:rsidR="00FF0D93" w:rsidRPr="00FF0D93" w:rsidRDefault="00FF0D93" w:rsidP="00FF0D93"/>
    <w:p w:rsidR="0049524E" w:rsidRDefault="00B2332C" w:rsidP="00B2332C">
      <w:pPr>
        <w:ind w:left="-1134"/>
      </w:pPr>
      <w:r w:rsidRPr="00AE12EB">
        <w:rPr>
          <w:noProof/>
          <w:lang w:eastAsia="en-CA"/>
        </w:rPr>
        <w:drawing>
          <wp:inline distT="0" distB="0" distL="0" distR="0">
            <wp:extent cx="7420646" cy="39909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gal Citation fill in the blank-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7154" cy="4005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32C" w:rsidRDefault="00B2332C" w:rsidP="0049524E"/>
    <w:p w:rsidR="00B2332C" w:rsidRDefault="00B2332C" w:rsidP="00B2332C">
      <w:pPr>
        <w:pStyle w:val="Title"/>
        <w:numPr>
          <w:ilvl w:val="0"/>
          <w:numId w:val="3"/>
        </w:numPr>
        <w:rPr>
          <w:color w:val="FF9933"/>
        </w:rPr>
      </w:pPr>
      <w:r w:rsidRPr="00B2332C">
        <w:rPr>
          <w:color w:val="FF9933"/>
        </w:rPr>
        <w:t>Practice Questions</w:t>
      </w:r>
    </w:p>
    <w:p w:rsidR="00B2332C" w:rsidRDefault="00B2332C" w:rsidP="00B2332C"/>
    <w:p w:rsidR="00483EE8" w:rsidRPr="00B2332C" w:rsidRDefault="00483EE8" w:rsidP="00B2332C">
      <w:r>
        <w:rPr>
          <w:noProof/>
          <w:lang w:eastAsia="en-CA"/>
        </w:rPr>
        <w:drawing>
          <wp:inline distT="0" distB="0" distL="0" distR="0" wp14:anchorId="319F3580" wp14:editId="43D42AEC">
            <wp:extent cx="1495425" cy="37385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290" r="72906" b="92585"/>
                    <a:stretch/>
                  </pic:blipFill>
                  <pic:spPr bwMode="auto">
                    <a:xfrm>
                      <a:off x="0" y="0"/>
                      <a:ext cx="1496024" cy="374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524E" w:rsidRDefault="0049524E" w:rsidP="0049524E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6D4917">
        <w:rPr>
          <w:b/>
        </w:rPr>
        <w:t>CanLII</w:t>
      </w:r>
      <w:proofErr w:type="spellEnd"/>
    </w:p>
    <w:p w:rsidR="00E54BEB" w:rsidRPr="006D4917" w:rsidRDefault="00E54BEB" w:rsidP="00E54BEB">
      <w:pPr>
        <w:pStyle w:val="ListParagraph"/>
        <w:rPr>
          <w:b/>
        </w:rPr>
      </w:pPr>
    </w:p>
    <w:p w:rsidR="003B1240" w:rsidRDefault="003B1240" w:rsidP="003B1240">
      <w:pPr>
        <w:pStyle w:val="ListParagraph"/>
        <w:numPr>
          <w:ilvl w:val="1"/>
          <w:numId w:val="2"/>
        </w:numPr>
      </w:pPr>
      <w:r>
        <w:t xml:space="preserve">When does </w:t>
      </w:r>
      <w:r w:rsidR="00AE3B68">
        <w:t>continuous</w:t>
      </w:r>
      <w:r w:rsidR="002D3668">
        <w:t xml:space="preserve"> </w:t>
      </w:r>
      <w:r>
        <w:t>coverage start for BC Supreme C</w:t>
      </w:r>
      <w:r w:rsidR="00AE3B68">
        <w:t xml:space="preserve">ourt cases in </w:t>
      </w:r>
      <w:proofErr w:type="spellStart"/>
      <w:r w:rsidR="00AE3B68">
        <w:t>CanLII</w:t>
      </w:r>
      <w:proofErr w:type="spellEnd"/>
      <w:r w:rsidR="00AE3B68">
        <w:t>? Hint: select</w:t>
      </w:r>
      <w:r>
        <w:t xml:space="preserve"> the </w:t>
      </w:r>
      <w:r>
        <w:rPr>
          <w:i/>
        </w:rPr>
        <w:t xml:space="preserve">Scope of Databases </w:t>
      </w:r>
      <w:r>
        <w:t>link</w:t>
      </w:r>
      <w:r w:rsidR="005218A3">
        <w:t xml:space="preserve"> at the bottom of the page</w:t>
      </w:r>
      <w:r w:rsidR="00AE3B68">
        <w:t>.</w:t>
      </w:r>
    </w:p>
    <w:p w:rsidR="007320E3" w:rsidRDefault="007320E3" w:rsidP="007320E3">
      <w:pPr>
        <w:pStyle w:val="ListParagraph"/>
        <w:ind w:left="1440"/>
      </w:pPr>
    </w:p>
    <w:p w:rsidR="00322DCE" w:rsidRDefault="00483EE8" w:rsidP="007F4FF3">
      <w:pPr>
        <w:pStyle w:val="ListParagraph"/>
        <w:numPr>
          <w:ilvl w:val="1"/>
          <w:numId w:val="2"/>
        </w:numPr>
      </w:pPr>
      <w:r w:rsidRPr="00AE12EB">
        <w:t>Using CANLII, locate the decision from the Canadian Human Rights Tribunal issued on December 20, 2013. What is the name of that decision?</w:t>
      </w:r>
      <w:r w:rsidR="00AE3B68" w:rsidRPr="00AE12EB">
        <w:t xml:space="preserve"> </w:t>
      </w:r>
      <w:r w:rsidR="001856D3">
        <w:t>(Hint: it’s best to browse, not search, for this decision).</w:t>
      </w:r>
    </w:p>
    <w:p w:rsidR="00322DCE" w:rsidRDefault="00322DCE" w:rsidP="00322DCE">
      <w:pPr>
        <w:pStyle w:val="ListParagraph"/>
        <w:ind w:left="1440"/>
      </w:pPr>
    </w:p>
    <w:p w:rsidR="00322DCE" w:rsidRDefault="00322DCE" w:rsidP="00322DCE">
      <w:pPr>
        <w:pStyle w:val="ListParagraph"/>
      </w:pPr>
    </w:p>
    <w:p w:rsidR="00322DCE" w:rsidRDefault="00322DCE" w:rsidP="00190C00">
      <w:pPr>
        <w:pStyle w:val="ListParagraph"/>
        <w:numPr>
          <w:ilvl w:val="1"/>
          <w:numId w:val="2"/>
        </w:numPr>
      </w:pPr>
    </w:p>
    <w:p w:rsidR="005218A3" w:rsidRDefault="00322DCE" w:rsidP="00322DCE">
      <w:pPr>
        <w:pStyle w:val="ListParagraph"/>
        <w:numPr>
          <w:ilvl w:val="2"/>
          <w:numId w:val="2"/>
        </w:numPr>
      </w:pPr>
      <w:r>
        <w:t xml:space="preserve">Locate the BC Employment Standards Act on CANLII. Note that finding legislation within CANLII </w:t>
      </w:r>
      <w:r w:rsidR="001C4120">
        <w:t xml:space="preserve">by </w:t>
      </w:r>
      <w:r w:rsidR="001C4120" w:rsidRPr="001C4120">
        <w:rPr>
          <w:i/>
        </w:rPr>
        <w:t>searching</w:t>
      </w:r>
      <w:r w:rsidR="001C4120">
        <w:t xml:space="preserve"> </w:t>
      </w:r>
      <w:r>
        <w:t>can be a little tricky</w:t>
      </w:r>
      <w:r w:rsidR="001C4120">
        <w:t>.</w:t>
      </w:r>
      <w:r>
        <w:t xml:space="preserve"> </w:t>
      </w:r>
    </w:p>
    <w:p w:rsidR="00947D67" w:rsidRDefault="00322DCE" w:rsidP="005218A3">
      <w:pPr>
        <w:pStyle w:val="ListParagraph"/>
        <w:ind w:left="2160"/>
      </w:pPr>
      <w:r>
        <w:t>What is the name of section 25?</w:t>
      </w:r>
    </w:p>
    <w:p w:rsidR="00322DCE" w:rsidRDefault="00322DCE" w:rsidP="00322DCE">
      <w:pPr>
        <w:pStyle w:val="ListParagraph"/>
        <w:ind w:left="2160"/>
      </w:pPr>
    </w:p>
    <w:p w:rsidR="00E145EA" w:rsidRDefault="00322DCE" w:rsidP="00322DCE">
      <w:pPr>
        <w:pStyle w:val="ListParagraph"/>
        <w:numPr>
          <w:ilvl w:val="2"/>
          <w:numId w:val="2"/>
        </w:numPr>
      </w:pPr>
      <w:r w:rsidRPr="00E145EA">
        <w:t xml:space="preserve">CANLII allows you to “note up” a case/decision </w:t>
      </w:r>
      <w:r w:rsidR="00E145EA">
        <w:t>or</w:t>
      </w:r>
      <w:r w:rsidRPr="00E145EA">
        <w:t xml:space="preserve"> legislation, which means that you can research which decisions have cited a particular case or piece of legislation of interest.</w:t>
      </w:r>
      <w:r w:rsidR="00410201" w:rsidRPr="00E145EA">
        <w:t xml:space="preserve"> </w:t>
      </w:r>
      <w:r w:rsidR="00E145EA">
        <w:t>Try doing this with</w:t>
      </w:r>
      <w:r w:rsidR="00410201" w:rsidRPr="00E145EA">
        <w:t xml:space="preserve"> the </w:t>
      </w:r>
      <w:r w:rsidR="00E145EA">
        <w:t>Employment Standards Act</w:t>
      </w:r>
    </w:p>
    <w:p w:rsidR="00E145EA" w:rsidRDefault="00E145EA" w:rsidP="00E145EA">
      <w:pPr>
        <w:pStyle w:val="ListParagraph"/>
      </w:pPr>
    </w:p>
    <w:p w:rsidR="007F4FF3" w:rsidRDefault="001C4120" w:rsidP="005218A3">
      <w:pPr>
        <w:pStyle w:val="ListParagraph"/>
        <w:numPr>
          <w:ilvl w:val="3"/>
          <w:numId w:val="2"/>
        </w:numPr>
      </w:pPr>
      <w:r>
        <w:t>On the CANLII’s web page for the BC Employment Standards Act, n</w:t>
      </w:r>
      <w:r w:rsidR="00E145EA">
        <w:t xml:space="preserve">avigate </w:t>
      </w:r>
      <w:r w:rsidR="00322DCE" w:rsidRPr="00E145EA">
        <w:t>to the “</w:t>
      </w:r>
      <w:proofErr w:type="spellStart"/>
      <w:r w:rsidR="00322DCE" w:rsidRPr="00E145EA">
        <w:t>noteup</w:t>
      </w:r>
      <w:proofErr w:type="spellEnd"/>
      <w:r w:rsidR="00322DCE" w:rsidRPr="00E145EA">
        <w:t xml:space="preserve">” tab towards the top of the page.  </w:t>
      </w:r>
      <w:r w:rsidR="005218A3">
        <w:t>Select the button, “</w:t>
      </w:r>
      <w:proofErr w:type="spellStart"/>
      <w:r w:rsidR="005218A3">
        <w:t>Noteup</w:t>
      </w:r>
      <w:proofErr w:type="spellEnd"/>
      <w:r w:rsidR="005218A3">
        <w:t xml:space="preserve"> a specific section or subse</w:t>
      </w:r>
      <w:r w:rsidR="005218A3">
        <w:t xml:space="preserve">ction from this statute” and enter </w:t>
      </w:r>
      <w:r w:rsidR="005218A3" w:rsidRPr="005218A3">
        <w:rPr>
          <w:b/>
        </w:rPr>
        <w:t>25</w:t>
      </w:r>
      <w:r w:rsidR="005218A3">
        <w:t xml:space="preserve">. This will show you </w:t>
      </w:r>
      <w:r w:rsidR="00322DCE">
        <w:t>how many cases cite</w:t>
      </w:r>
      <w:r w:rsidR="007F4FF3">
        <w:t xml:space="preserve"> this</w:t>
      </w:r>
      <w:r w:rsidR="00322DCE">
        <w:t xml:space="preserve"> particular </w:t>
      </w:r>
      <w:r w:rsidR="00322DCE" w:rsidRPr="005218A3">
        <w:rPr>
          <w:i/>
        </w:rPr>
        <w:t>section</w:t>
      </w:r>
      <w:r w:rsidR="00322DCE">
        <w:t xml:space="preserve"> of </w:t>
      </w:r>
      <w:r w:rsidR="007F4FF3">
        <w:t>the</w:t>
      </w:r>
      <w:r w:rsidR="00322DCE">
        <w:t xml:space="preserve"> </w:t>
      </w:r>
      <w:r w:rsidR="007F4FF3">
        <w:t>A</w:t>
      </w:r>
      <w:r w:rsidR="00322DCE">
        <w:t>ct</w:t>
      </w:r>
      <w:r w:rsidR="005218A3">
        <w:t>.</w:t>
      </w:r>
      <w:r w:rsidR="00322DCE">
        <w:t xml:space="preserve"> </w:t>
      </w:r>
      <w:r w:rsidR="00410201">
        <w:t>(</w:t>
      </w:r>
      <w:r w:rsidR="00E145EA">
        <w:t xml:space="preserve">Limitation: </w:t>
      </w:r>
      <w:proofErr w:type="spellStart"/>
      <w:r w:rsidR="005218A3">
        <w:t>CanLII</w:t>
      </w:r>
      <w:proofErr w:type="spellEnd"/>
      <w:r w:rsidR="00410201">
        <w:t xml:space="preserve"> will only reference cases </w:t>
      </w:r>
      <w:r w:rsidR="00410201">
        <w:lastRenderedPageBreak/>
        <w:t xml:space="preserve">that are indexed </w:t>
      </w:r>
      <w:r w:rsidR="005218A3">
        <w:t>within CANLII</w:t>
      </w:r>
      <w:r w:rsidR="00410201">
        <w:t xml:space="preserve">). </w:t>
      </w:r>
    </w:p>
    <w:p w:rsidR="007F4FF3" w:rsidRDefault="007F4FF3" w:rsidP="007F4FF3">
      <w:pPr>
        <w:pStyle w:val="ListParagraph"/>
        <w:ind w:left="2880"/>
      </w:pPr>
    </w:p>
    <w:p w:rsidR="00322DCE" w:rsidRDefault="00322DCE" w:rsidP="007F4FF3">
      <w:pPr>
        <w:pStyle w:val="ListParagraph"/>
        <w:ind w:left="2880"/>
      </w:pPr>
      <w:r w:rsidRPr="007F4FF3">
        <w:rPr>
          <w:b/>
        </w:rPr>
        <w:t>How many</w:t>
      </w:r>
      <w:r>
        <w:t xml:space="preserve"> cases cite section 25 of the Employment Standards Act?</w:t>
      </w:r>
      <w:r w:rsidR="00E64D6D">
        <w:t xml:space="preserve"> </w:t>
      </w:r>
      <w:r w:rsidR="000912FB" w:rsidRPr="007F4FF3">
        <w:rPr>
          <w:b/>
        </w:rPr>
        <w:t>Name</w:t>
      </w:r>
      <w:r w:rsidR="000912FB">
        <w:t xml:space="preserve"> the first result’s case name,</w:t>
      </w:r>
      <w:r w:rsidR="001C4120">
        <w:t xml:space="preserve"> plus</w:t>
      </w:r>
      <w:r w:rsidR="000912FB">
        <w:t xml:space="preserve"> the Board, Tribunal or Court the matter was brought before.</w:t>
      </w:r>
    </w:p>
    <w:p w:rsidR="0099242A" w:rsidRDefault="0099242A" w:rsidP="0099242A">
      <w:pPr>
        <w:pStyle w:val="ListParagraph"/>
      </w:pPr>
    </w:p>
    <w:p w:rsidR="00BF1B4E" w:rsidRPr="00DE4A9C" w:rsidRDefault="008A445F" w:rsidP="00BF1B4E">
      <w:pPr>
        <w:rPr>
          <w:rStyle w:val="bold"/>
          <w:b/>
        </w:rPr>
      </w:pPr>
      <w:r>
        <w:rPr>
          <w:rStyle w:val="bold"/>
          <w:b/>
        </w:rPr>
        <w:t>WESTLAW NEXT CANADA –</w:t>
      </w:r>
      <w:r w:rsidR="007F4FF3">
        <w:rPr>
          <w:rStyle w:val="bold"/>
          <w:b/>
        </w:rPr>
        <w:t xml:space="preserve"> TWO</w:t>
      </w:r>
      <w:r>
        <w:rPr>
          <w:rStyle w:val="bold"/>
          <w:b/>
        </w:rPr>
        <w:t xml:space="preserve"> LEGAL RESEARCH TOOLS</w:t>
      </w:r>
    </w:p>
    <w:p w:rsidR="00DE4A9C" w:rsidRDefault="00DE4A9C" w:rsidP="00DE4A9C">
      <w:pPr>
        <w:tabs>
          <w:tab w:val="left" w:pos="720"/>
          <w:tab w:val="left" w:pos="9360"/>
        </w:tabs>
        <w:ind w:right="3672"/>
      </w:pPr>
      <w:r>
        <w:rPr>
          <w:b/>
          <w:noProof/>
          <w:lang w:eastAsia="en-CA"/>
        </w:rPr>
        <w:drawing>
          <wp:inline distT="0" distB="0" distL="0" distR="0" wp14:anchorId="320F01D8" wp14:editId="04C678C4">
            <wp:extent cx="1472865" cy="287740"/>
            <wp:effectExtent l="19050" t="0" r="0" b="0"/>
            <wp:docPr id="3" name="Picture 30" descr="law-1-&amp;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w-1-&amp;-2.jpg"/>
                    <pic:cNvPicPr/>
                  </pic:nvPicPr>
                  <pic:blipFill>
                    <a:blip r:embed="rId8" cstate="print"/>
                    <a:srcRect b="46780"/>
                    <a:stretch>
                      <a:fillRect/>
                    </a:stretch>
                  </pic:blipFill>
                  <pic:spPr>
                    <a:xfrm>
                      <a:off x="0" y="0"/>
                      <a:ext cx="1478965" cy="28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A9C" w:rsidRDefault="00DE4A9C" w:rsidP="00DE4A9C">
      <w:pPr>
        <w:pStyle w:val="ListParagraph"/>
        <w:ind w:left="0"/>
      </w:pPr>
    </w:p>
    <w:p w:rsidR="00126F9A" w:rsidRDefault="00DE4A9C" w:rsidP="00DE4A9C">
      <w:pPr>
        <w:pStyle w:val="ListParagraph"/>
        <w:ind w:left="0"/>
        <w:rPr>
          <w:b/>
        </w:rPr>
      </w:pPr>
      <w:r>
        <w:t xml:space="preserve">Part 1: </w:t>
      </w:r>
      <w:r w:rsidR="00126F9A">
        <w:rPr>
          <w:b/>
        </w:rPr>
        <w:t>CANLII</w:t>
      </w:r>
    </w:p>
    <w:p w:rsidR="00126F9A" w:rsidRDefault="00126F9A" w:rsidP="00DE4A9C">
      <w:pPr>
        <w:pStyle w:val="ListParagraph"/>
        <w:ind w:left="0"/>
        <w:rPr>
          <w:b/>
        </w:rPr>
      </w:pPr>
    </w:p>
    <w:p w:rsidR="00DE4A9C" w:rsidRDefault="00E145EA" w:rsidP="00126F9A">
      <w:pPr>
        <w:pStyle w:val="ListParagraph"/>
        <w:numPr>
          <w:ilvl w:val="0"/>
          <w:numId w:val="5"/>
        </w:numPr>
      </w:pPr>
      <w:r>
        <w:t xml:space="preserve">Go back to CANLII. </w:t>
      </w:r>
      <w:r w:rsidR="00DE4A9C">
        <w:t xml:space="preserve">Run a search for </w:t>
      </w:r>
      <w:r w:rsidR="00DE4A9C">
        <w:rPr>
          <w:i/>
        </w:rPr>
        <w:t xml:space="preserve">unfair employment termination </w:t>
      </w:r>
      <w:r w:rsidR="00DE4A9C">
        <w:t>in CANLII. How many cases come up for this keyword search?</w:t>
      </w:r>
    </w:p>
    <w:p w:rsidR="00DA0465" w:rsidRPr="00000B5A" w:rsidRDefault="00DA0465" w:rsidP="00DE4A9C">
      <w:pPr>
        <w:pStyle w:val="ListParagraph"/>
        <w:ind w:left="0"/>
      </w:pPr>
    </w:p>
    <w:p w:rsidR="00DE4A9C" w:rsidRDefault="00DE4A9C" w:rsidP="00DE4A9C">
      <w:pPr>
        <w:tabs>
          <w:tab w:val="left" w:pos="720"/>
          <w:tab w:val="left" w:pos="9360"/>
        </w:tabs>
        <w:spacing w:after="0"/>
        <w:ind w:right="3672"/>
        <w:rPr>
          <w:b/>
        </w:rPr>
      </w:pPr>
      <w:r>
        <w:t xml:space="preserve">Part 2: </w:t>
      </w:r>
      <w:r w:rsidR="00126F9A">
        <w:rPr>
          <w:b/>
        </w:rPr>
        <w:t>WESTLAW NEXT</w:t>
      </w:r>
    </w:p>
    <w:p w:rsidR="00E145EA" w:rsidRDefault="00E145EA" w:rsidP="00DE4A9C">
      <w:pPr>
        <w:tabs>
          <w:tab w:val="left" w:pos="720"/>
          <w:tab w:val="left" w:pos="9360"/>
        </w:tabs>
        <w:spacing w:after="0"/>
        <w:ind w:right="3672"/>
        <w:rPr>
          <w:b/>
        </w:rPr>
      </w:pPr>
    </w:p>
    <w:p w:rsidR="00E145EA" w:rsidRPr="00E145EA" w:rsidRDefault="00E145EA" w:rsidP="00DE4A9C">
      <w:pPr>
        <w:tabs>
          <w:tab w:val="left" w:pos="720"/>
          <w:tab w:val="left" w:pos="9360"/>
        </w:tabs>
        <w:spacing w:after="0"/>
        <w:ind w:right="3672"/>
        <w:rPr>
          <w:i/>
        </w:rPr>
      </w:pPr>
      <w:r w:rsidRPr="00E145EA">
        <w:rPr>
          <w:b/>
          <w:i/>
        </w:rPr>
        <w:t>Canadian Abridgment Digest</w:t>
      </w:r>
      <w:r w:rsidR="0060630D">
        <w:rPr>
          <w:b/>
          <w:i/>
        </w:rPr>
        <w:t xml:space="preserve"> via Westlaw Next</w:t>
      </w:r>
    </w:p>
    <w:p w:rsidR="00DE4A9C" w:rsidRDefault="00DE4A9C" w:rsidP="00DE4A9C">
      <w:pPr>
        <w:tabs>
          <w:tab w:val="left" w:pos="720"/>
          <w:tab w:val="left" w:pos="9360"/>
        </w:tabs>
        <w:spacing w:after="0"/>
        <w:ind w:right="3672"/>
      </w:pPr>
    </w:p>
    <w:p w:rsidR="00126F9A" w:rsidRPr="00E24C92" w:rsidRDefault="00E145EA" w:rsidP="00126F9A">
      <w:pPr>
        <w:pStyle w:val="ListParagraph"/>
        <w:numPr>
          <w:ilvl w:val="0"/>
          <w:numId w:val="4"/>
        </w:numPr>
        <w:tabs>
          <w:tab w:val="left" w:pos="720"/>
          <w:tab w:val="left" w:pos="9360"/>
        </w:tabs>
        <w:spacing w:after="0"/>
        <w:ind w:right="4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Please </w:t>
      </w:r>
      <w:r w:rsidR="00EA3458">
        <w:rPr>
          <w:noProof/>
          <w:color w:val="000000" w:themeColor="text1"/>
        </w:rPr>
        <w:t>g</w:t>
      </w:r>
      <w:r w:rsidR="00126F9A" w:rsidRPr="00E24C92">
        <w:rPr>
          <w:noProof/>
          <w:color w:val="000000" w:themeColor="text1"/>
        </w:rPr>
        <w:t xml:space="preserve">o to the library website and locate the subscription database, WestlawNext Canada. </w:t>
      </w:r>
    </w:p>
    <w:p w:rsidR="00126F9A" w:rsidRPr="00E24C92" w:rsidRDefault="00EA3458" w:rsidP="00126F9A">
      <w:pPr>
        <w:pStyle w:val="ListParagraph"/>
        <w:numPr>
          <w:ilvl w:val="0"/>
          <w:numId w:val="4"/>
        </w:numPr>
        <w:tabs>
          <w:tab w:val="left" w:pos="720"/>
          <w:tab w:val="left" w:pos="9360"/>
        </w:tabs>
        <w:spacing w:after="0"/>
        <w:ind w:right="4"/>
      </w:pPr>
      <w:r>
        <w:rPr>
          <w:noProof/>
          <w:color w:val="000000" w:themeColor="text1"/>
        </w:rPr>
        <w:t xml:space="preserve">From the Westlaw Next home page, </w:t>
      </w:r>
      <w:r w:rsidR="00126F9A" w:rsidRPr="00E24C92">
        <w:rPr>
          <w:noProof/>
          <w:color w:val="000000" w:themeColor="text1"/>
        </w:rPr>
        <w:t xml:space="preserve">select the </w:t>
      </w:r>
      <w:r w:rsidR="00126F9A" w:rsidRPr="00EA3458">
        <w:rPr>
          <w:i/>
          <w:noProof/>
          <w:color w:val="000000" w:themeColor="text1"/>
        </w:rPr>
        <w:t>Canadian Abridgment Digest (CAD)</w:t>
      </w:r>
      <w:r w:rsidR="00126F9A" w:rsidRPr="00E24C92">
        <w:rPr>
          <w:noProof/>
          <w:color w:val="000000" w:themeColor="text1"/>
        </w:rPr>
        <w:t xml:space="preserve">, which summarizes </w:t>
      </w:r>
      <w:r w:rsidR="00E145EA">
        <w:rPr>
          <w:noProof/>
          <w:color w:val="000000" w:themeColor="text1"/>
        </w:rPr>
        <w:t xml:space="preserve">and classifies </w:t>
      </w:r>
      <w:r w:rsidR="00126F9A" w:rsidRPr="00E24C92">
        <w:rPr>
          <w:noProof/>
          <w:color w:val="000000" w:themeColor="text1"/>
        </w:rPr>
        <w:t xml:space="preserve">hundreds of thousands of Canadian legal cases. </w:t>
      </w:r>
    </w:p>
    <w:p w:rsidR="00E145EA" w:rsidRDefault="00126F9A" w:rsidP="008754E4">
      <w:pPr>
        <w:pStyle w:val="ListParagraph"/>
        <w:numPr>
          <w:ilvl w:val="1"/>
          <w:numId w:val="4"/>
        </w:numPr>
        <w:tabs>
          <w:tab w:val="left" w:pos="720"/>
          <w:tab w:val="left" w:pos="9360"/>
        </w:tabs>
        <w:spacing w:after="0"/>
        <w:ind w:right="4"/>
      </w:pPr>
      <w:r w:rsidRPr="00E145EA">
        <w:rPr>
          <w:noProof/>
          <w:color w:val="000000" w:themeColor="text1"/>
        </w:rPr>
        <w:t>You will first see</w:t>
      </w:r>
      <w:r>
        <w:t xml:space="preserve"> numerous CAD main headings (example: Aboriginal Law). Please find 3 </w:t>
      </w:r>
      <w:r w:rsidR="00E145EA">
        <w:t xml:space="preserve">headings or </w:t>
      </w:r>
      <w:r>
        <w:t>sub-headings where case law digests</w:t>
      </w:r>
      <w:r w:rsidR="0073190F">
        <w:t xml:space="preserve"> of decisions</w:t>
      </w:r>
      <w:r>
        <w:t xml:space="preserve"> involving labour and employment issues might be found</w:t>
      </w:r>
      <w:r w:rsidR="00E145EA">
        <w:t xml:space="preserve"> (there are many possible answers)</w:t>
      </w:r>
      <w:r>
        <w:t xml:space="preserve">. </w:t>
      </w:r>
      <w:r w:rsidR="00E145EA">
        <w:t xml:space="preserve"> </w:t>
      </w:r>
      <w:r w:rsidR="00E145EA">
        <w:t>How many cases are class</w:t>
      </w:r>
      <w:r w:rsidR="00E145EA">
        <w:t>ified under</w:t>
      </w:r>
      <w:r w:rsidR="00E145EA">
        <w:t xml:space="preserve"> each of those headings?</w:t>
      </w:r>
    </w:p>
    <w:p w:rsidR="00E145EA" w:rsidRDefault="00E145EA" w:rsidP="00E145EA">
      <w:pPr>
        <w:pStyle w:val="ListParagraph"/>
        <w:tabs>
          <w:tab w:val="left" w:pos="720"/>
          <w:tab w:val="left" w:pos="9360"/>
        </w:tabs>
        <w:spacing w:after="0"/>
        <w:ind w:left="1440" w:right="4"/>
      </w:pPr>
    </w:p>
    <w:p w:rsidR="00E145EA" w:rsidRDefault="00E145EA" w:rsidP="00E145EA">
      <w:pPr>
        <w:pStyle w:val="ListParagraph"/>
        <w:tabs>
          <w:tab w:val="left" w:pos="720"/>
          <w:tab w:val="left" w:pos="9360"/>
        </w:tabs>
        <w:spacing w:after="0"/>
        <w:ind w:left="1440" w:right="4"/>
      </w:pPr>
      <w:r>
        <w:t>1.</w:t>
      </w:r>
    </w:p>
    <w:p w:rsidR="00E145EA" w:rsidRDefault="00E145EA" w:rsidP="00E145EA">
      <w:pPr>
        <w:pStyle w:val="ListParagraph"/>
        <w:tabs>
          <w:tab w:val="left" w:pos="720"/>
          <w:tab w:val="left" w:pos="9360"/>
        </w:tabs>
        <w:spacing w:after="0"/>
        <w:ind w:left="1440" w:right="4"/>
      </w:pPr>
      <w:r>
        <w:t>2.</w:t>
      </w:r>
    </w:p>
    <w:p w:rsidR="00E145EA" w:rsidRPr="00E145EA" w:rsidRDefault="00E145EA" w:rsidP="00E145EA">
      <w:pPr>
        <w:pStyle w:val="ListParagraph"/>
        <w:tabs>
          <w:tab w:val="left" w:pos="720"/>
          <w:tab w:val="left" w:pos="9360"/>
        </w:tabs>
        <w:spacing w:after="0"/>
        <w:ind w:left="1440" w:right="4"/>
      </w:pPr>
      <w:r>
        <w:t>3.</w:t>
      </w:r>
    </w:p>
    <w:p w:rsidR="00126F9A" w:rsidRDefault="00126F9A" w:rsidP="00E145EA">
      <w:pPr>
        <w:pStyle w:val="ListParagraph"/>
        <w:tabs>
          <w:tab w:val="left" w:pos="720"/>
          <w:tab w:val="left" w:pos="9360"/>
        </w:tabs>
        <w:spacing w:after="0"/>
        <w:ind w:left="1440" w:right="4"/>
      </w:pPr>
    </w:p>
    <w:p w:rsidR="00E145EA" w:rsidRDefault="00E145EA" w:rsidP="00E145EA">
      <w:pPr>
        <w:tabs>
          <w:tab w:val="left" w:pos="720"/>
          <w:tab w:val="left" w:pos="9360"/>
        </w:tabs>
        <w:spacing w:after="0"/>
        <w:ind w:right="4"/>
      </w:pPr>
    </w:p>
    <w:p w:rsidR="00E145EA" w:rsidRPr="0060630D" w:rsidRDefault="00F873C5" w:rsidP="00E145EA">
      <w:pPr>
        <w:tabs>
          <w:tab w:val="left" w:pos="720"/>
          <w:tab w:val="left" w:pos="9360"/>
        </w:tabs>
        <w:spacing w:after="0"/>
        <w:ind w:right="4"/>
        <w:rPr>
          <w:b/>
          <w:i/>
        </w:rPr>
      </w:pPr>
      <w:r>
        <w:rPr>
          <w:b/>
          <w:i/>
        </w:rPr>
        <w:t>Canadian Encyclopedic Digest</w:t>
      </w:r>
      <w:r w:rsidR="0060630D" w:rsidRPr="0060630D">
        <w:rPr>
          <w:b/>
          <w:i/>
        </w:rPr>
        <w:t xml:space="preserve"> </w:t>
      </w:r>
      <w:r w:rsidR="00E145EA" w:rsidRPr="0060630D">
        <w:rPr>
          <w:b/>
          <w:i/>
        </w:rPr>
        <w:t xml:space="preserve">via </w:t>
      </w:r>
      <w:proofErr w:type="spellStart"/>
      <w:r w:rsidR="00E145EA" w:rsidRPr="0060630D">
        <w:rPr>
          <w:b/>
          <w:i/>
        </w:rPr>
        <w:t>WestLaw</w:t>
      </w:r>
      <w:proofErr w:type="spellEnd"/>
      <w:r w:rsidR="00E145EA" w:rsidRPr="0060630D">
        <w:rPr>
          <w:b/>
          <w:i/>
        </w:rPr>
        <w:t xml:space="preserve"> Next</w:t>
      </w:r>
    </w:p>
    <w:p w:rsidR="00E145EA" w:rsidRDefault="00E145EA" w:rsidP="00E145EA">
      <w:pPr>
        <w:tabs>
          <w:tab w:val="left" w:pos="720"/>
          <w:tab w:val="left" w:pos="9360"/>
        </w:tabs>
        <w:spacing w:after="0"/>
        <w:ind w:right="4"/>
      </w:pPr>
    </w:p>
    <w:p w:rsidR="0060630D" w:rsidRPr="0060630D" w:rsidRDefault="00E145EA" w:rsidP="00070616">
      <w:pPr>
        <w:pStyle w:val="ListParagraph"/>
        <w:numPr>
          <w:ilvl w:val="0"/>
          <w:numId w:val="7"/>
        </w:numPr>
        <w:tabs>
          <w:tab w:val="left" w:pos="720"/>
          <w:tab w:val="left" w:pos="9360"/>
        </w:tabs>
        <w:spacing w:after="0"/>
        <w:ind w:right="4"/>
      </w:pPr>
      <w:r w:rsidRPr="0060630D">
        <w:rPr>
          <w:noProof/>
          <w:color w:val="000000" w:themeColor="text1"/>
        </w:rPr>
        <w:t xml:space="preserve">Go back to the main Westlaw Next home page. You will switch from searching the </w:t>
      </w:r>
      <w:r w:rsidRPr="00BD4385">
        <w:rPr>
          <w:i/>
          <w:noProof/>
          <w:color w:val="000000" w:themeColor="text1"/>
        </w:rPr>
        <w:t>Canadian Abridgment Digest</w:t>
      </w:r>
      <w:r w:rsidR="00AD12E4" w:rsidRPr="0060630D">
        <w:rPr>
          <w:noProof/>
          <w:color w:val="000000" w:themeColor="text1"/>
        </w:rPr>
        <w:t xml:space="preserve"> collection to </w:t>
      </w:r>
      <w:r w:rsidR="007F4FF3">
        <w:rPr>
          <w:noProof/>
          <w:color w:val="000000" w:themeColor="text1"/>
        </w:rPr>
        <w:t xml:space="preserve">now </w:t>
      </w:r>
      <w:r w:rsidR="00AD12E4" w:rsidRPr="0060630D">
        <w:rPr>
          <w:noProof/>
          <w:color w:val="000000" w:themeColor="text1"/>
        </w:rPr>
        <w:t xml:space="preserve">searching </w:t>
      </w:r>
      <w:r w:rsidR="00F873C5">
        <w:rPr>
          <w:noProof/>
          <w:color w:val="000000" w:themeColor="text1"/>
        </w:rPr>
        <w:t>another one</w:t>
      </w:r>
      <w:r w:rsidR="00AD12E4" w:rsidRPr="0060630D">
        <w:rPr>
          <w:noProof/>
          <w:color w:val="000000" w:themeColor="text1"/>
        </w:rPr>
        <w:t xml:space="preserve"> of Westlaw Next’s </w:t>
      </w:r>
      <w:r w:rsidR="00F873C5">
        <w:rPr>
          <w:noProof/>
          <w:color w:val="000000" w:themeColor="text1"/>
        </w:rPr>
        <w:t xml:space="preserve">legal research tools: The </w:t>
      </w:r>
      <w:r w:rsidR="00F873C5" w:rsidRPr="00F873C5">
        <w:rPr>
          <w:i/>
          <w:noProof/>
          <w:color w:val="000000" w:themeColor="text1"/>
        </w:rPr>
        <w:t>Canadian Encyclopedic Digest</w:t>
      </w:r>
    </w:p>
    <w:p w:rsidR="00D42ABB" w:rsidRDefault="00AD12E4" w:rsidP="00070616">
      <w:pPr>
        <w:pStyle w:val="ListParagraph"/>
        <w:numPr>
          <w:ilvl w:val="0"/>
          <w:numId w:val="7"/>
        </w:numPr>
        <w:tabs>
          <w:tab w:val="left" w:pos="720"/>
          <w:tab w:val="left" w:pos="9360"/>
        </w:tabs>
        <w:spacing w:after="0"/>
        <w:ind w:right="4"/>
      </w:pPr>
      <w:r>
        <w:t xml:space="preserve">Select </w:t>
      </w:r>
      <w:r w:rsidR="00F873C5" w:rsidRPr="00F873C5">
        <w:rPr>
          <w:i/>
          <w:noProof/>
          <w:color w:val="000000" w:themeColor="text1"/>
        </w:rPr>
        <w:t>Canadian Encyclopedic Digest</w:t>
      </w:r>
      <w:r w:rsidR="00F873C5">
        <w:t xml:space="preserve"> </w:t>
      </w:r>
      <w:r w:rsidR="00EA3458">
        <w:t xml:space="preserve">(found under </w:t>
      </w:r>
      <w:r w:rsidR="00EA3458" w:rsidRPr="00EA3458">
        <w:rPr>
          <w:i/>
        </w:rPr>
        <w:t>Commentary</w:t>
      </w:r>
      <w:r w:rsidR="00EA3458">
        <w:t>)</w:t>
      </w:r>
    </w:p>
    <w:p w:rsidR="0099242A" w:rsidRDefault="00EA3458" w:rsidP="00F873C5">
      <w:pPr>
        <w:pStyle w:val="ListParagraph"/>
        <w:numPr>
          <w:ilvl w:val="0"/>
          <w:numId w:val="7"/>
        </w:numPr>
        <w:tabs>
          <w:tab w:val="left" w:pos="720"/>
          <w:tab w:val="left" w:pos="9360"/>
        </w:tabs>
        <w:spacing w:after="0"/>
        <w:ind w:right="4"/>
      </w:pPr>
      <w:r>
        <w:t xml:space="preserve">Here, you can search </w:t>
      </w:r>
      <w:r w:rsidR="00F873C5">
        <w:t xml:space="preserve">all of the encyclopedia at once, or browse by alphabetical encyclopedia entries. </w:t>
      </w:r>
    </w:p>
    <w:p w:rsidR="00EA3458" w:rsidRDefault="00F873C5" w:rsidP="0099242A">
      <w:pPr>
        <w:pStyle w:val="ListParagraph"/>
        <w:numPr>
          <w:ilvl w:val="2"/>
          <w:numId w:val="7"/>
        </w:numPr>
        <w:tabs>
          <w:tab w:val="left" w:pos="720"/>
          <w:tab w:val="left" w:pos="9360"/>
        </w:tabs>
        <w:spacing w:after="0"/>
        <w:ind w:right="4"/>
      </w:pPr>
      <w:r>
        <w:t xml:space="preserve">Scroll down to </w:t>
      </w:r>
      <w:r w:rsidRPr="00F873C5">
        <w:rPr>
          <w:i/>
        </w:rPr>
        <w:t>Labour Law – British Columbia</w:t>
      </w:r>
      <w:r>
        <w:t>, and click on</w:t>
      </w:r>
      <w:r w:rsidR="007F4FF3">
        <w:t xml:space="preserve"> this</w:t>
      </w:r>
      <w:r>
        <w:t xml:space="preserve"> entry.</w:t>
      </w:r>
    </w:p>
    <w:p w:rsidR="0099242A" w:rsidRPr="0099242A" w:rsidRDefault="0099242A" w:rsidP="0099242A">
      <w:pPr>
        <w:pStyle w:val="ListParagraph"/>
        <w:numPr>
          <w:ilvl w:val="2"/>
          <w:numId w:val="7"/>
        </w:numPr>
        <w:tabs>
          <w:tab w:val="left" w:pos="720"/>
          <w:tab w:val="left" w:pos="9360"/>
        </w:tabs>
        <w:spacing w:after="0"/>
        <w:ind w:right="4"/>
      </w:pPr>
      <w:r>
        <w:t xml:space="preserve">Go to </w:t>
      </w:r>
      <w:r w:rsidR="007F4FF3">
        <w:t>section</w:t>
      </w:r>
      <w:r>
        <w:t xml:space="preserve"> </w:t>
      </w:r>
      <w:r w:rsidRPr="0099242A">
        <w:rPr>
          <w:i/>
        </w:rPr>
        <w:t>XIV – Economic Conflict</w:t>
      </w:r>
    </w:p>
    <w:p w:rsidR="0099242A" w:rsidRPr="0099242A" w:rsidRDefault="0099242A" w:rsidP="0099242A">
      <w:pPr>
        <w:pStyle w:val="ListParagraph"/>
        <w:numPr>
          <w:ilvl w:val="2"/>
          <w:numId w:val="7"/>
        </w:numPr>
        <w:tabs>
          <w:tab w:val="left" w:pos="720"/>
          <w:tab w:val="left" w:pos="9360"/>
        </w:tabs>
        <w:spacing w:after="0"/>
        <w:ind w:right="4"/>
      </w:pPr>
      <w:r>
        <w:t xml:space="preserve">Next, go to subsection </w:t>
      </w:r>
      <w:r w:rsidRPr="0099242A">
        <w:rPr>
          <w:i/>
        </w:rPr>
        <w:t xml:space="preserve">10 </w:t>
      </w:r>
      <w:r>
        <w:rPr>
          <w:i/>
        </w:rPr>
        <w:t>–</w:t>
      </w:r>
      <w:r w:rsidRPr="0099242A">
        <w:rPr>
          <w:i/>
        </w:rPr>
        <w:t xml:space="preserve"> Picketing</w:t>
      </w:r>
    </w:p>
    <w:p w:rsidR="0099242A" w:rsidRPr="0099242A" w:rsidRDefault="0099242A" w:rsidP="0099242A">
      <w:pPr>
        <w:pStyle w:val="ListParagraph"/>
        <w:numPr>
          <w:ilvl w:val="2"/>
          <w:numId w:val="7"/>
        </w:numPr>
        <w:tabs>
          <w:tab w:val="left" w:pos="720"/>
          <w:tab w:val="left" w:pos="9360"/>
        </w:tabs>
        <w:spacing w:after="0"/>
        <w:ind w:right="4"/>
      </w:pPr>
      <w:r>
        <w:t xml:space="preserve">Next, go to sub-sub-section (c) – </w:t>
      </w:r>
      <w:r>
        <w:rPr>
          <w:i/>
        </w:rPr>
        <w:t>Permitted Activity</w:t>
      </w:r>
    </w:p>
    <w:p w:rsidR="0099242A" w:rsidRDefault="0099242A" w:rsidP="0099242A">
      <w:pPr>
        <w:pStyle w:val="ListParagraph"/>
        <w:numPr>
          <w:ilvl w:val="2"/>
          <w:numId w:val="7"/>
        </w:numPr>
        <w:tabs>
          <w:tab w:val="left" w:pos="720"/>
          <w:tab w:val="left" w:pos="9360"/>
        </w:tabs>
        <w:spacing w:after="0"/>
        <w:ind w:right="4"/>
      </w:pPr>
      <w:r>
        <w:t xml:space="preserve">Here, you will find a comprehensive statement of the law about permitted picketing activity, based on case law and legislation. You can </w:t>
      </w:r>
      <w:r w:rsidR="007F4FF3">
        <w:t xml:space="preserve">also </w:t>
      </w:r>
      <w:r>
        <w:t xml:space="preserve">use the footnotes to point you to </w:t>
      </w:r>
      <w:r w:rsidR="007D32AD">
        <w:t xml:space="preserve">key cases and legislation on this topic. </w:t>
      </w:r>
    </w:p>
    <w:p w:rsidR="0099242A" w:rsidRDefault="0099242A" w:rsidP="0099242A">
      <w:pPr>
        <w:pStyle w:val="ListParagraph"/>
        <w:tabs>
          <w:tab w:val="left" w:pos="720"/>
          <w:tab w:val="left" w:pos="9360"/>
        </w:tabs>
        <w:spacing w:after="0"/>
        <w:ind w:left="2160" w:right="4"/>
      </w:pPr>
    </w:p>
    <w:p w:rsidR="0099242A" w:rsidRDefault="0099242A" w:rsidP="00962D48">
      <w:pPr>
        <w:pStyle w:val="ListParagraph"/>
        <w:tabs>
          <w:tab w:val="left" w:pos="720"/>
          <w:tab w:val="left" w:pos="9360"/>
        </w:tabs>
        <w:spacing w:after="0"/>
        <w:ind w:left="1440" w:right="4"/>
      </w:pPr>
      <w:r>
        <w:t>Section 882 states, “</w:t>
      </w:r>
      <w:r w:rsidRPr="007F4FF3">
        <w:rPr>
          <w:i/>
        </w:rPr>
        <w:t>Picketing engages the constitutional value of freedom of expression in s. 2(b) of the Canadian Charter of Rights and Freedoms, which is a higher freedom than protection from economic harm</w:t>
      </w:r>
      <w:r w:rsidR="00962D48">
        <w:t>”</w:t>
      </w:r>
      <w:r>
        <w:t>.</w:t>
      </w:r>
      <w:r w:rsidR="00962D48">
        <w:t xml:space="preserve"> According to footnote 5, </w:t>
      </w:r>
      <w:r w:rsidR="00962D48" w:rsidRPr="007F4FF3">
        <w:rPr>
          <w:b/>
        </w:rPr>
        <w:t>which major foo</w:t>
      </w:r>
      <w:r w:rsidR="007D32AD" w:rsidRPr="007F4FF3">
        <w:rPr>
          <w:b/>
        </w:rPr>
        <w:t xml:space="preserve">d company </w:t>
      </w:r>
      <w:r w:rsidR="007D32AD">
        <w:t>was part of a lawsuit</w:t>
      </w:r>
      <w:r w:rsidR="00962D48">
        <w:t xml:space="preserve"> which helped establish this statement of law? </w:t>
      </w:r>
    </w:p>
    <w:p w:rsidR="007F4FF3" w:rsidRDefault="007F4FF3" w:rsidP="00962D48">
      <w:pPr>
        <w:pStyle w:val="ListParagraph"/>
        <w:tabs>
          <w:tab w:val="left" w:pos="720"/>
          <w:tab w:val="left" w:pos="9360"/>
        </w:tabs>
        <w:spacing w:after="0"/>
        <w:ind w:left="1440" w:right="4"/>
      </w:pPr>
      <w:bookmarkStart w:id="0" w:name="_GoBack"/>
      <w:bookmarkEnd w:id="0"/>
    </w:p>
    <w:p w:rsidR="008A445F" w:rsidRDefault="008A445F" w:rsidP="00962D48">
      <w:pPr>
        <w:pStyle w:val="ListParagraph"/>
        <w:tabs>
          <w:tab w:val="left" w:pos="720"/>
          <w:tab w:val="left" w:pos="9360"/>
        </w:tabs>
        <w:spacing w:after="0"/>
        <w:ind w:left="1440" w:right="4"/>
      </w:pPr>
    </w:p>
    <w:p w:rsidR="008A445F" w:rsidRDefault="008A445F" w:rsidP="008A445F">
      <w:pPr>
        <w:pStyle w:val="ListParagraph"/>
        <w:tabs>
          <w:tab w:val="left" w:pos="720"/>
          <w:tab w:val="left" w:pos="9360"/>
        </w:tabs>
        <w:spacing w:after="0"/>
        <w:ind w:left="0" w:right="4"/>
        <w:rPr>
          <w:b/>
        </w:rPr>
      </w:pPr>
      <w:r>
        <w:rPr>
          <w:b/>
        </w:rPr>
        <w:t>EXTRA QUESTION, IF TIME PERMITS</w:t>
      </w:r>
    </w:p>
    <w:p w:rsidR="008A445F" w:rsidRPr="008A445F" w:rsidRDefault="008A445F" w:rsidP="008A445F">
      <w:pPr>
        <w:pStyle w:val="ListParagraph"/>
        <w:tabs>
          <w:tab w:val="left" w:pos="720"/>
          <w:tab w:val="left" w:pos="9360"/>
        </w:tabs>
        <w:spacing w:after="0"/>
        <w:ind w:left="0" w:right="4"/>
        <w:rPr>
          <w:b/>
        </w:rPr>
      </w:pPr>
    </w:p>
    <w:p w:rsidR="008A445F" w:rsidRDefault="008A445F" w:rsidP="008A445F">
      <w:r w:rsidRPr="00C0004C">
        <w:rPr>
          <w:b/>
          <w:noProof/>
          <w:lang w:eastAsia="en-CA"/>
        </w:rPr>
        <w:drawing>
          <wp:inline distT="0" distB="0" distL="0" distR="0" wp14:anchorId="5F4E4DD5" wp14:editId="5A0CD478">
            <wp:extent cx="1409700" cy="549910"/>
            <wp:effectExtent l="0" t="0" r="0" b="2540"/>
            <wp:docPr id="30" name="Picture 5" descr="law-quickl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w-quicklaw.jpg"/>
                    <pic:cNvPicPr/>
                  </pic:nvPicPr>
                  <pic:blipFill>
                    <a:blip r:embed="rId9" cstate="print"/>
                    <a:srcRect r="28359" b="18571"/>
                    <a:stretch>
                      <a:fillRect/>
                    </a:stretch>
                  </pic:blipFill>
                  <pic:spPr>
                    <a:xfrm>
                      <a:off x="0" y="0"/>
                      <a:ext cx="1410100" cy="550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45F" w:rsidRPr="001856D3" w:rsidRDefault="008A445F" w:rsidP="009B7054">
      <w:pPr>
        <w:pStyle w:val="ListParagraph"/>
        <w:numPr>
          <w:ilvl w:val="0"/>
          <w:numId w:val="8"/>
        </w:numPr>
      </w:pPr>
      <w:proofErr w:type="spellStart"/>
      <w:r w:rsidRPr="001856D3">
        <w:rPr>
          <w:b/>
        </w:rPr>
        <w:t>Quicklaw</w:t>
      </w:r>
      <w:proofErr w:type="spellEnd"/>
      <w:r w:rsidRPr="001856D3">
        <w:rPr>
          <w:b/>
        </w:rPr>
        <w:t xml:space="preserve"> </w:t>
      </w:r>
    </w:p>
    <w:p w:rsidR="001856D3" w:rsidRDefault="001856D3" w:rsidP="001856D3">
      <w:pPr>
        <w:pStyle w:val="ListParagraph"/>
      </w:pPr>
    </w:p>
    <w:p w:rsidR="008A445F" w:rsidRDefault="008A445F" w:rsidP="008A445F">
      <w:pPr>
        <w:pStyle w:val="ListParagraph"/>
        <w:numPr>
          <w:ilvl w:val="1"/>
          <w:numId w:val="8"/>
        </w:numPr>
      </w:pPr>
      <w:r w:rsidRPr="00483EE8">
        <w:t>A journal article found in the McGill Law Journal discusses a Montreal furrier who had grown accustomed to his apprentices fleeing from him. What is the name of this article which, more generally, d</w:t>
      </w:r>
      <w:r>
        <w:t>iscusses servants’ rights in</w:t>
      </w:r>
      <w:r w:rsidRPr="00483EE8">
        <w:t xml:space="preserve"> </w:t>
      </w:r>
      <w:r>
        <w:t xml:space="preserve">the </w:t>
      </w:r>
      <w:r w:rsidRPr="00483EE8">
        <w:t>19th Century?</w:t>
      </w:r>
    </w:p>
    <w:p w:rsidR="008A445F" w:rsidRDefault="008A445F" w:rsidP="008A445F">
      <w:pPr>
        <w:pStyle w:val="ListParagraph"/>
        <w:ind w:left="1440"/>
        <w:rPr>
          <w:rStyle w:val="bold"/>
        </w:rPr>
      </w:pPr>
    </w:p>
    <w:p w:rsidR="00F873C5" w:rsidRDefault="00F873C5" w:rsidP="007D32AD">
      <w:pPr>
        <w:pStyle w:val="ListParagraph"/>
        <w:tabs>
          <w:tab w:val="left" w:pos="720"/>
          <w:tab w:val="left" w:pos="9360"/>
        </w:tabs>
        <w:spacing w:after="0"/>
        <w:ind w:right="4"/>
      </w:pPr>
    </w:p>
    <w:p w:rsidR="00B2332C" w:rsidRDefault="00B2332C" w:rsidP="00B2332C"/>
    <w:sectPr w:rsidR="00B233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954DE"/>
    <w:multiLevelType w:val="hybridMultilevel"/>
    <w:tmpl w:val="AC164D3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22667"/>
    <w:multiLevelType w:val="hybridMultilevel"/>
    <w:tmpl w:val="20A6F0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667D1"/>
    <w:multiLevelType w:val="hybridMultilevel"/>
    <w:tmpl w:val="5CFA6FA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67F05"/>
    <w:multiLevelType w:val="hybridMultilevel"/>
    <w:tmpl w:val="482879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85D89"/>
    <w:multiLevelType w:val="hybridMultilevel"/>
    <w:tmpl w:val="921CB6F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F094B"/>
    <w:multiLevelType w:val="hybridMultilevel"/>
    <w:tmpl w:val="760287D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A769F0"/>
    <w:multiLevelType w:val="hybridMultilevel"/>
    <w:tmpl w:val="AC164D3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C4DB6"/>
    <w:multiLevelType w:val="hybridMultilevel"/>
    <w:tmpl w:val="9FE24BBA"/>
    <w:lvl w:ilvl="0" w:tplc="9B0812E8">
      <w:start w:val="1"/>
      <w:numFmt w:val="upperLetter"/>
      <w:lvlText w:val="%1."/>
      <w:lvlJc w:val="left"/>
      <w:pPr>
        <w:ind w:left="1080" w:hanging="720"/>
      </w:pPr>
      <w:rPr>
        <w:rFonts w:hint="default"/>
        <w:color w:val="FF9933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4E"/>
    <w:rsid w:val="00000B5A"/>
    <w:rsid w:val="0000101D"/>
    <w:rsid w:val="000912FB"/>
    <w:rsid w:val="00095F16"/>
    <w:rsid w:val="000E5714"/>
    <w:rsid w:val="00126F9A"/>
    <w:rsid w:val="001856D3"/>
    <w:rsid w:val="00187BA7"/>
    <w:rsid w:val="001905E1"/>
    <w:rsid w:val="001B363A"/>
    <w:rsid w:val="001C4120"/>
    <w:rsid w:val="002224FE"/>
    <w:rsid w:val="00276C67"/>
    <w:rsid w:val="00283410"/>
    <w:rsid w:val="0029772F"/>
    <w:rsid w:val="002D3668"/>
    <w:rsid w:val="00322DCE"/>
    <w:rsid w:val="00365D5B"/>
    <w:rsid w:val="003B1240"/>
    <w:rsid w:val="003D747B"/>
    <w:rsid w:val="003E1E94"/>
    <w:rsid w:val="003F3BE4"/>
    <w:rsid w:val="003F4783"/>
    <w:rsid w:val="003F6F11"/>
    <w:rsid w:val="00410201"/>
    <w:rsid w:val="00472026"/>
    <w:rsid w:val="00481019"/>
    <w:rsid w:val="00483EE8"/>
    <w:rsid w:val="0049524E"/>
    <w:rsid w:val="004D124C"/>
    <w:rsid w:val="005016FC"/>
    <w:rsid w:val="005218A3"/>
    <w:rsid w:val="005557AA"/>
    <w:rsid w:val="005A7F60"/>
    <w:rsid w:val="0060630D"/>
    <w:rsid w:val="006465E2"/>
    <w:rsid w:val="006608AC"/>
    <w:rsid w:val="0066393F"/>
    <w:rsid w:val="006D06AC"/>
    <w:rsid w:val="006D4917"/>
    <w:rsid w:val="006E05E1"/>
    <w:rsid w:val="006F7AFB"/>
    <w:rsid w:val="007034D3"/>
    <w:rsid w:val="00730348"/>
    <w:rsid w:val="0073190F"/>
    <w:rsid w:val="007320E3"/>
    <w:rsid w:val="007A2744"/>
    <w:rsid w:val="007D32AD"/>
    <w:rsid w:val="007E0391"/>
    <w:rsid w:val="007F4FF3"/>
    <w:rsid w:val="00845137"/>
    <w:rsid w:val="00854BFD"/>
    <w:rsid w:val="0087203F"/>
    <w:rsid w:val="008A4438"/>
    <w:rsid w:val="008A445F"/>
    <w:rsid w:val="008D570E"/>
    <w:rsid w:val="00912D9A"/>
    <w:rsid w:val="0093036C"/>
    <w:rsid w:val="009333BC"/>
    <w:rsid w:val="00947D67"/>
    <w:rsid w:val="00962D48"/>
    <w:rsid w:val="0098373B"/>
    <w:rsid w:val="0099242A"/>
    <w:rsid w:val="009F07CE"/>
    <w:rsid w:val="009F7EE3"/>
    <w:rsid w:val="00A36165"/>
    <w:rsid w:val="00A42920"/>
    <w:rsid w:val="00A60716"/>
    <w:rsid w:val="00A6457F"/>
    <w:rsid w:val="00A83D09"/>
    <w:rsid w:val="00A86322"/>
    <w:rsid w:val="00AD12E4"/>
    <w:rsid w:val="00AE12EB"/>
    <w:rsid w:val="00AE3B68"/>
    <w:rsid w:val="00B2332C"/>
    <w:rsid w:val="00B570F9"/>
    <w:rsid w:val="00B73152"/>
    <w:rsid w:val="00BD4385"/>
    <w:rsid w:val="00BF1B4E"/>
    <w:rsid w:val="00C3269A"/>
    <w:rsid w:val="00C511E5"/>
    <w:rsid w:val="00C64D77"/>
    <w:rsid w:val="00D42ABB"/>
    <w:rsid w:val="00D93E1D"/>
    <w:rsid w:val="00DA0465"/>
    <w:rsid w:val="00DE4A9C"/>
    <w:rsid w:val="00E10C15"/>
    <w:rsid w:val="00E145EA"/>
    <w:rsid w:val="00E320FE"/>
    <w:rsid w:val="00E53672"/>
    <w:rsid w:val="00E54BEB"/>
    <w:rsid w:val="00E64D6D"/>
    <w:rsid w:val="00E96BAA"/>
    <w:rsid w:val="00EA3458"/>
    <w:rsid w:val="00EC2639"/>
    <w:rsid w:val="00F0176F"/>
    <w:rsid w:val="00F135F5"/>
    <w:rsid w:val="00F4254A"/>
    <w:rsid w:val="00F45818"/>
    <w:rsid w:val="00F873C5"/>
    <w:rsid w:val="00FB0CC1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5391E-0E80-4DC2-8450-CE0D0D5D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24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233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33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old">
    <w:name w:val="bold"/>
    <w:basedOn w:val="DefaultParagraphFont"/>
    <w:rsid w:val="007320E3"/>
  </w:style>
  <w:style w:type="paragraph" w:styleId="BalloonText">
    <w:name w:val="Balloon Text"/>
    <w:basedOn w:val="Normal"/>
    <w:link w:val="BalloonTextChar"/>
    <w:uiPriority w:val="99"/>
    <w:semiHidden/>
    <w:unhideWhenUsed/>
    <w:rsid w:val="00F01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76F"/>
    <w:rPr>
      <w:rFonts w:ascii="Segoe UI" w:hAnsi="Segoe UI" w:cs="Segoe UI"/>
      <w:sz w:val="18"/>
      <w:szCs w:val="18"/>
    </w:rPr>
  </w:style>
  <w:style w:type="character" w:customStyle="1" w:styleId="ssl2">
    <w:name w:val="ss_l2"/>
    <w:basedOn w:val="DefaultParagraphFont"/>
    <w:rsid w:val="00AE3B68"/>
  </w:style>
  <w:style w:type="character" w:styleId="CommentReference">
    <w:name w:val="annotation reference"/>
    <w:basedOn w:val="DefaultParagraphFont"/>
    <w:uiPriority w:val="99"/>
    <w:semiHidden/>
    <w:unhideWhenUsed/>
    <w:rsid w:val="00AE1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2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2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2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D27D8-AD2D-463D-9EFB-6813E563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Koscielski</dc:creator>
  <cp:keywords/>
  <dc:description/>
  <cp:lastModifiedBy>Yolanda Koscielski</cp:lastModifiedBy>
  <cp:revision>16</cp:revision>
  <cp:lastPrinted>2016-09-13T18:42:00Z</cp:lastPrinted>
  <dcterms:created xsi:type="dcterms:W3CDTF">2017-01-10T18:02:00Z</dcterms:created>
  <dcterms:modified xsi:type="dcterms:W3CDTF">2017-01-11T00:05:00Z</dcterms:modified>
</cp:coreProperties>
</file>